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942B8" w14:textId="59148870" w:rsidR="00330AC4" w:rsidRPr="00AE7E25" w:rsidRDefault="004C71C2" w:rsidP="0077205B">
      <w:pPr>
        <w:rPr>
          <w:rFonts w:ascii="Arial" w:hAnsi="Arial" w:cs="Arial"/>
          <w:b/>
          <w:sz w:val="22"/>
          <w:szCs w:val="22"/>
          <w:lang w:val="es-ES_tradnl"/>
        </w:rPr>
      </w:pPr>
      <w:r w:rsidRPr="00AE7E25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</w:p>
    <w:p w14:paraId="04999123" w14:textId="14FABE82" w:rsidR="003211BE" w:rsidRPr="00AE7E25" w:rsidRDefault="003211BE" w:rsidP="003211BE">
      <w:pPr>
        <w:jc w:val="right"/>
        <w:rPr>
          <w:rFonts w:ascii="Arial" w:eastAsia="Arial" w:hAnsi="Arial" w:cs="Arial"/>
          <w:b/>
          <w:sz w:val="22"/>
          <w:szCs w:val="22"/>
          <w:lang w:val="es-ES_tradnl"/>
        </w:rPr>
      </w:pPr>
      <w:r w:rsidRPr="00AE7E25">
        <w:rPr>
          <w:rFonts w:ascii="Arial" w:eastAsia="Arial" w:hAnsi="Arial" w:cs="Arial"/>
          <w:b/>
          <w:sz w:val="22"/>
          <w:szCs w:val="22"/>
          <w:lang w:val="es-ES_tradnl"/>
        </w:rPr>
        <w:t>OFICIO AMC-DA-</w:t>
      </w:r>
      <w:r w:rsidR="00F632EE" w:rsidRPr="00AE7E25">
        <w:rPr>
          <w:rFonts w:ascii="Arial" w:eastAsia="Arial" w:hAnsi="Arial" w:cs="Arial"/>
          <w:b/>
          <w:color w:val="000000" w:themeColor="text1"/>
          <w:sz w:val="22"/>
          <w:szCs w:val="22"/>
          <w:lang w:val="es-ES_tradnl"/>
        </w:rPr>
        <w:t>xxx</w:t>
      </w:r>
      <w:r w:rsidRPr="00AE7E25">
        <w:rPr>
          <w:rFonts w:ascii="Arial" w:eastAsia="Arial" w:hAnsi="Arial" w:cs="Arial"/>
          <w:b/>
          <w:sz w:val="22"/>
          <w:szCs w:val="22"/>
          <w:lang w:val="es-ES_tradnl"/>
        </w:rPr>
        <w:t>-202</w:t>
      </w:r>
      <w:r w:rsidR="00F632EE" w:rsidRPr="00AE7E25">
        <w:rPr>
          <w:rFonts w:ascii="Arial" w:eastAsia="Arial" w:hAnsi="Arial" w:cs="Arial"/>
          <w:b/>
          <w:sz w:val="22"/>
          <w:szCs w:val="22"/>
          <w:lang w:val="es-ES_tradnl"/>
        </w:rPr>
        <w:t>6</w:t>
      </w:r>
    </w:p>
    <w:p w14:paraId="126195C1" w14:textId="077EB7CD" w:rsidR="003211BE" w:rsidRPr="00AE7E25" w:rsidRDefault="003211BE" w:rsidP="003211BE">
      <w:pPr>
        <w:jc w:val="right"/>
        <w:rPr>
          <w:rFonts w:ascii="Arial" w:eastAsia="Arial" w:hAnsi="Arial" w:cs="Arial"/>
          <w:b/>
          <w:sz w:val="22"/>
          <w:szCs w:val="22"/>
          <w:lang w:val="es-ES_tradnl"/>
        </w:rPr>
      </w:pPr>
      <w:r w:rsidRPr="00AE7E25">
        <w:rPr>
          <w:rFonts w:ascii="Arial" w:eastAsia="Arial" w:hAnsi="Arial" w:cs="Arial"/>
          <w:b/>
          <w:sz w:val="22"/>
          <w:szCs w:val="22"/>
          <w:lang w:val="es-ES_tradnl"/>
        </w:rPr>
        <w:t xml:space="preserve">Cajicá, </w:t>
      </w:r>
      <w:r w:rsidR="00D66B79">
        <w:rPr>
          <w:rFonts w:ascii="Arial" w:eastAsia="Arial" w:hAnsi="Arial" w:cs="Arial"/>
          <w:b/>
          <w:sz w:val="22"/>
          <w:szCs w:val="22"/>
          <w:lang w:val="es-ES_tradnl"/>
        </w:rPr>
        <w:t xml:space="preserve">XXXXXXXXX </w:t>
      </w:r>
      <w:r w:rsidRPr="00AE7E25">
        <w:rPr>
          <w:rFonts w:ascii="Arial" w:eastAsia="Arial" w:hAnsi="Arial" w:cs="Arial"/>
          <w:b/>
          <w:sz w:val="22"/>
          <w:szCs w:val="22"/>
          <w:lang w:val="es-ES_tradnl"/>
        </w:rPr>
        <w:t>de 202</w:t>
      </w:r>
      <w:r w:rsidR="00F632EE" w:rsidRPr="00AE7E25">
        <w:rPr>
          <w:rFonts w:ascii="Arial" w:eastAsia="Arial" w:hAnsi="Arial" w:cs="Arial"/>
          <w:b/>
          <w:sz w:val="22"/>
          <w:szCs w:val="22"/>
          <w:lang w:val="es-ES_tradnl"/>
        </w:rPr>
        <w:t>6</w:t>
      </w:r>
    </w:p>
    <w:p w14:paraId="64FAA466" w14:textId="77777777" w:rsidR="007838F2" w:rsidRPr="00AE7E25" w:rsidRDefault="007838F2" w:rsidP="00F01CAB">
      <w:pPr>
        <w:pStyle w:val="Sinespaciado"/>
        <w:rPr>
          <w:rFonts w:ascii="Arial" w:hAnsi="Arial" w:cs="Arial"/>
          <w:sz w:val="22"/>
          <w:szCs w:val="22"/>
        </w:rPr>
      </w:pPr>
    </w:p>
    <w:p w14:paraId="68994780" w14:textId="77777777" w:rsidR="00F01CAB" w:rsidRPr="00AE7E25" w:rsidRDefault="00F01CAB" w:rsidP="00F01CAB">
      <w:pPr>
        <w:pStyle w:val="Sinespaciado"/>
        <w:rPr>
          <w:rFonts w:ascii="Arial" w:hAnsi="Arial" w:cs="Arial"/>
          <w:sz w:val="22"/>
          <w:szCs w:val="22"/>
        </w:rPr>
      </w:pPr>
    </w:p>
    <w:p w14:paraId="6CCEA87E" w14:textId="6615CDD2" w:rsidR="00536EC9" w:rsidRPr="00AE7E25" w:rsidRDefault="00F632EE" w:rsidP="007838F2">
      <w:pPr>
        <w:pStyle w:val="Sinespaciado"/>
        <w:rPr>
          <w:rFonts w:ascii="Arial" w:hAnsi="Arial" w:cs="Arial"/>
          <w:sz w:val="22"/>
          <w:szCs w:val="22"/>
        </w:rPr>
      </w:pPr>
      <w:r w:rsidRPr="00AE7E25">
        <w:rPr>
          <w:rFonts w:ascii="Arial" w:hAnsi="Arial" w:cs="Arial"/>
          <w:sz w:val="22"/>
          <w:szCs w:val="22"/>
        </w:rPr>
        <w:t>Señor</w:t>
      </w:r>
      <w:r w:rsidR="00C744ED" w:rsidRPr="00AE7E25">
        <w:rPr>
          <w:rFonts w:ascii="Arial" w:hAnsi="Arial" w:cs="Arial"/>
          <w:sz w:val="22"/>
          <w:szCs w:val="22"/>
        </w:rPr>
        <w:t>:</w:t>
      </w:r>
    </w:p>
    <w:p w14:paraId="3B0F6496" w14:textId="78BE9052" w:rsidR="00536EC9" w:rsidRPr="00AE7E25" w:rsidRDefault="009A0479" w:rsidP="007838F2">
      <w:pPr>
        <w:pStyle w:val="Sinespaciad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REINALDO CRUZ FIGUEROA</w:t>
      </w:r>
    </w:p>
    <w:p w14:paraId="647C3260" w14:textId="1532BEFA" w:rsidR="00283514" w:rsidRPr="00AE7E25" w:rsidRDefault="009A0479" w:rsidP="007838F2">
      <w:pPr>
        <w:pStyle w:val="Sinespaciado"/>
        <w:rPr>
          <w:rFonts w:ascii="Arial" w:hAnsi="Arial" w:cs="Arial"/>
          <w:sz w:val="22"/>
          <w:szCs w:val="22"/>
        </w:rPr>
      </w:pPr>
      <w:r w:rsidRPr="009A0479">
        <w:rPr>
          <w:rFonts w:ascii="Arial" w:eastAsia="Times New Roman" w:hAnsi="Arial" w:cs="Arial"/>
          <w:color w:val="000000"/>
          <w:sz w:val="22"/>
          <w:szCs w:val="22"/>
          <w:lang w:eastAsia="es-MX"/>
        </w:rPr>
        <w:t>Reinaldo.cruz.f@me.com</w:t>
      </w:r>
    </w:p>
    <w:p w14:paraId="7C62633C" w14:textId="77777777" w:rsidR="00F01CAB" w:rsidRPr="00AE7E25" w:rsidRDefault="00F01CAB" w:rsidP="00F01CAB">
      <w:pPr>
        <w:pStyle w:val="Sinespaciado"/>
        <w:rPr>
          <w:rFonts w:ascii="Arial" w:hAnsi="Arial" w:cs="Arial"/>
          <w:sz w:val="22"/>
          <w:szCs w:val="22"/>
        </w:rPr>
      </w:pPr>
    </w:p>
    <w:p w14:paraId="4FE79D96" w14:textId="77777777" w:rsidR="003211BE" w:rsidRPr="00AE7E25" w:rsidRDefault="003211BE" w:rsidP="00F01CAB">
      <w:pPr>
        <w:pStyle w:val="Sinespaciado"/>
        <w:rPr>
          <w:rFonts w:ascii="Arial" w:hAnsi="Arial" w:cs="Arial"/>
          <w:sz w:val="22"/>
          <w:szCs w:val="22"/>
        </w:rPr>
      </w:pPr>
    </w:p>
    <w:p w14:paraId="2F3FA331" w14:textId="21B13D0E" w:rsidR="00364CC8" w:rsidRPr="00364CC8" w:rsidRDefault="0092288E" w:rsidP="009A0479">
      <w:pPr>
        <w:pStyle w:val="Sinespaciado"/>
        <w:rPr>
          <w:rFonts w:ascii="Arial" w:hAnsi="Arial" w:cs="Arial"/>
          <w:sz w:val="22"/>
          <w:szCs w:val="22"/>
        </w:rPr>
      </w:pPr>
      <w:r w:rsidRPr="00AE7E25">
        <w:rPr>
          <w:rFonts w:ascii="Arial" w:hAnsi="Arial" w:cs="Arial"/>
          <w:b/>
          <w:bCs/>
          <w:sz w:val="22"/>
          <w:szCs w:val="22"/>
        </w:rPr>
        <w:t>Asunto</w:t>
      </w:r>
      <w:r w:rsidRPr="00AE7E25">
        <w:rPr>
          <w:rFonts w:ascii="Arial" w:hAnsi="Arial" w:cs="Arial"/>
          <w:sz w:val="22"/>
          <w:szCs w:val="22"/>
        </w:rPr>
        <w:t>:</w:t>
      </w:r>
      <w:r w:rsidR="00364CC8">
        <w:rPr>
          <w:rFonts w:ascii="Arial" w:hAnsi="Arial" w:cs="Arial"/>
          <w:sz w:val="22"/>
          <w:szCs w:val="22"/>
        </w:rPr>
        <w:t xml:space="preserve"> </w:t>
      </w:r>
      <w:r w:rsidR="00364CC8" w:rsidRPr="00364CC8">
        <w:rPr>
          <w:rFonts w:ascii="Arial" w:hAnsi="Arial" w:cs="Arial"/>
          <w:sz w:val="22"/>
          <w:szCs w:val="22"/>
        </w:rPr>
        <w:t xml:space="preserve">Respuesta </w:t>
      </w:r>
      <w:r w:rsidR="009A0479">
        <w:rPr>
          <w:rFonts w:ascii="Arial" w:hAnsi="Arial" w:cs="Arial"/>
          <w:sz w:val="22"/>
          <w:szCs w:val="22"/>
        </w:rPr>
        <w:t>a su solicitud respecto a la Resolución No. 589 de 2024</w:t>
      </w:r>
      <w:r w:rsidR="00364CC8" w:rsidRPr="00364CC8">
        <w:rPr>
          <w:rFonts w:ascii="Arial" w:hAnsi="Arial" w:cs="Arial"/>
          <w:sz w:val="22"/>
          <w:szCs w:val="22"/>
        </w:rPr>
        <w:t>.</w:t>
      </w:r>
    </w:p>
    <w:p w14:paraId="37645323" w14:textId="77777777" w:rsidR="00364CC8" w:rsidRDefault="00364CC8" w:rsidP="00364CC8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57964DFF" w14:textId="77777777" w:rsidR="00364CC8" w:rsidRPr="00364CC8" w:rsidRDefault="00364CC8" w:rsidP="00364CC8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1ED6325E" w14:textId="56DF2FD7" w:rsidR="00364CC8" w:rsidRPr="00364CC8" w:rsidRDefault="00364CC8" w:rsidP="00364CC8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364CC8">
        <w:rPr>
          <w:rFonts w:ascii="Arial" w:hAnsi="Arial" w:cs="Arial"/>
          <w:sz w:val="22"/>
          <w:szCs w:val="22"/>
        </w:rPr>
        <w:t xml:space="preserve">Respetado señor </w:t>
      </w:r>
      <w:r w:rsidR="009A0479">
        <w:rPr>
          <w:rFonts w:ascii="Arial" w:hAnsi="Arial" w:cs="Arial"/>
          <w:sz w:val="22"/>
          <w:szCs w:val="22"/>
        </w:rPr>
        <w:t>Cruz</w:t>
      </w:r>
      <w:r w:rsidRPr="00364CC8">
        <w:rPr>
          <w:rFonts w:ascii="Arial" w:hAnsi="Arial" w:cs="Arial"/>
          <w:sz w:val="22"/>
          <w:szCs w:val="22"/>
        </w:rPr>
        <w:t>:</w:t>
      </w:r>
    </w:p>
    <w:p w14:paraId="1A571306" w14:textId="77777777" w:rsidR="00364CC8" w:rsidRPr="00364CC8" w:rsidRDefault="00364CC8" w:rsidP="00364CC8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742425F2" w14:textId="77777777" w:rsid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9A0479">
        <w:rPr>
          <w:rFonts w:ascii="Arial" w:hAnsi="Arial" w:cs="Arial"/>
          <w:sz w:val="22"/>
          <w:szCs w:val="22"/>
        </w:rPr>
        <w:t xml:space="preserve">La Alcaldía Municipal, en ejercicio de las competencias conferidas por los artículos 2, 209 y 315 de la Constitución Política, la Ley 136 de 1994, la Ley 1755 de 2015, la Ley 1437 de 2011, la Ley 388 de 1997, la Ley 1801 de 2016 y las demás normas concordantes, procede a resolver de fondo </w:t>
      </w:r>
      <w:r>
        <w:rPr>
          <w:rFonts w:ascii="Arial" w:hAnsi="Arial" w:cs="Arial"/>
          <w:sz w:val="22"/>
          <w:szCs w:val="22"/>
        </w:rPr>
        <w:t>su solicitud en los siguientes términos:</w:t>
      </w:r>
    </w:p>
    <w:p w14:paraId="3EBAB913" w14:textId="29D0B472" w:rsidR="009A0479" w:rsidRP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658200D1" w14:textId="4ECE5D16" w:rsidR="009A0479" w:rsidRPr="009A0479" w:rsidRDefault="009A0479" w:rsidP="009A0479">
      <w:pPr>
        <w:pStyle w:val="Sinespaciado"/>
        <w:jc w:val="center"/>
        <w:rPr>
          <w:rFonts w:ascii="Arial" w:hAnsi="Arial" w:cs="Arial"/>
          <w:b/>
          <w:bCs/>
          <w:sz w:val="22"/>
          <w:szCs w:val="22"/>
        </w:rPr>
      </w:pPr>
      <w:r w:rsidRPr="009A0479">
        <w:rPr>
          <w:rFonts w:ascii="Arial" w:hAnsi="Arial" w:cs="Arial"/>
          <w:b/>
          <w:bCs/>
          <w:sz w:val="22"/>
          <w:szCs w:val="22"/>
        </w:rPr>
        <w:t>ANTECEDENTES.</w:t>
      </w:r>
    </w:p>
    <w:p w14:paraId="334FA379" w14:textId="77777777" w:rsid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47663475" w14:textId="029BEFEA" w:rsidR="009A0479" w:rsidRP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9A0479">
        <w:rPr>
          <w:rFonts w:ascii="Arial" w:hAnsi="Arial" w:cs="Arial"/>
          <w:sz w:val="22"/>
          <w:szCs w:val="22"/>
        </w:rPr>
        <w:t>La Resolución No. 589 de 17 de diciembre de 2024 confirmó que la actividad desarrollada por la Planta CEHISA corresponde a una actividad Industrial Grupo III y ordenó la presentación de un plan de mitigación, desmonte y traslado dentro de un término de ejecución, con medidas de mitigación durante la transición.</w:t>
      </w:r>
    </w:p>
    <w:p w14:paraId="3FAF4EBE" w14:textId="77777777" w:rsid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36F740E0" w14:textId="113F2D08" w:rsidR="009A0479" w:rsidRP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9A0479">
        <w:rPr>
          <w:rFonts w:ascii="Arial" w:hAnsi="Arial" w:cs="Arial"/>
          <w:sz w:val="22"/>
          <w:szCs w:val="22"/>
        </w:rPr>
        <w:t>La resolución dejó claramente establecido que la actividad debía trasladarse definitivamente y que la Administración conservaría sus facultades de inspección, vigilancia y control durante la ejecución del plan.</w:t>
      </w:r>
    </w:p>
    <w:p w14:paraId="3AB97668" w14:textId="77777777" w:rsid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46809915" w14:textId="436CA9C3" w:rsid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9A0479">
        <w:rPr>
          <w:rFonts w:ascii="Arial" w:hAnsi="Arial" w:cs="Arial"/>
          <w:sz w:val="22"/>
          <w:szCs w:val="22"/>
        </w:rPr>
        <w:t>Posteriormente la empresa presentó información técnica, financiera y logística relacionada con el avance del traslado, la adquisición de maquinaria, la contratación de una nueva sede industrial y el cronograma de desmonte. Con fundamento en esa información se suscribió el Acta de Compromiso No. 002 de 2026 como instrumento de seguimiento de la ejecución.</w:t>
      </w:r>
    </w:p>
    <w:p w14:paraId="45904E17" w14:textId="77777777" w:rsid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4E7D8DF3" w14:textId="3FCD0F2D" w:rsidR="009A0479" w:rsidRPr="009A0479" w:rsidRDefault="009A0479" w:rsidP="009A0479">
      <w:pPr>
        <w:pStyle w:val="Sinespaciado"/>
        <w:jc w:val="center"/>
        <w:rPr>
          <w:rFonts w:ascii="Arial" w:hAnsi="Arial" w:cs="Arial"/>
          <w:b/>
          <w:bCs/>
          <w:sz w:val="22"/>
          <w:szCs w:val="22"/>
        </w:rPr>
      </w:pPr>
      <w:r w:rsidRPr="009A0479">
        <w:rPr>
          <w:rFonts w:ascii="Arial" w:hAnsi="Arial" w:cs="Arial"/>
          <w:b/>
          <w:bCs/>
          <w:sz w:val="22"/>
          <w:szCs w:val="22"/>
        </w:rPr>
        <w:t>CONSIDERACIONES.</w:t>
      </w:r>
    </w:p>
    <w:p w14:paraId="36F43546" w14:textId="77777777" w:rsid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62661142" w14:textId="728F8828" w:rsid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9A0479">
        <w:rPr>
          <w:rFonts w:ascii="Arial" w:hAnsi="Arial" w:cs="Arial"/>
          <w:sz w:val="22"/>
          <w:szCs w:val="22"/>
        </w:rPr>
        <w:t>Previo a resolver cada una de las solicitudes formuladas, resulta pertinente precisar el alcance jurídico de la Resolución No. 589 del 17 de diciembre de 2024</w:t>
      </w:r>
      <w:r w:rsidR="00D66B79">
        <w:rPr>
          <w:rFonts w:ascii="Arial" w:hAnsi="Arial" w:cs="Arial"/>
          <w:sz w:val="22"/>
          <w:szCs w:val="22"/>
        </w:rPr>
        <w:t>, m</w:t>
      </w:r>
      <w:r w:rsidRPr="009A0479">
        <w:rPr>
          <w:rFonts w:ascii="Arial" w:hAnsi="Arial" w:cs="Arial"/>
          <w:sz w:val="22"/>
          <w:szCs w:val="22"/>
        </w:rPr>
        <w:t>ediante dicho acto administrativo la Administración Municipal confirmó que la actividad desarrollada por la Planta CEHISA de la sociedad Santa Reyes S.A.S. corresponde a una Actividad Industrial Grupo III, incompatible con el uso del suelo autorizado para el sector donde actualmente opera</w:t>
      </w:r>
      <w:r w:rsidR="00D66B79">
        <w:rPr>
          <w:rFonts w:ascii="Arial" w:hAnsi="Arial" w:cs="Arial"/>
          <w:sz w:val="22"/>
          <w:szCs w:val="22"/>
        </w:rPr>
        <w:t>, n</w:t>
      </w:r>
      <w:r w:rsidRPr="009A0479">
        <w:rPr>
          <w:rFonts w:ascii="Arial" w:hAnsi="Arial" w:cs="Arial"/>
          <w:sz w:val="22"/>
          <w:szCs w:val="22"/>
        </w:rPr>
        <w:t>o obstante, la Resolución no dispuso el cierre inmediato de la actividad económica ni ordenó su cesación instantánea.</w:t>
      </w:r>
    </w:p>
    <w:p w14:paraId="21C0CFCB" w14:textId="77777777" w:rsidR="00D66B79" w:rsidRPr="009A0479" w:rsidRDefault="00D66B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00B0FC47" w14:textId="77777777" w:rsid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9A0479">
        <w:rPr>
          <w:rFonts w:ascii="Arial" w:hAnsi="Arial" w:cs="Arial"/>
          <w:sz w:val="22"/>
          <w:szCs w:val="22"/>
        </w:rPr>
        <w:t>Por el contrario, atendiendo las características técnicas del proceso industrial, la complejidad logística del traslado, la necesidad de mitigar los impactos ambientales y sociales y la protección concurrente del interés general y de los derechos comprometidos, la Administración estableció un régimen de transición consistente en:</w:t>
      </w:r>
    </w:p>
    <w:p w14:paraId="2ED6551B" w14:textId="77777777" w:rsidR="00D66B79" w:rsidRPr="009A0479" w:rsidRDefault="00D66B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20CAE778" w14:textId="77777777" w:rsidR="009A0479" w:rsidRPr="009A0479" w:rsidRDefault="009A0479" w:rsidP="00D66B79">
      <w:pPr>
        <w:pStyle w:val="Sinespaciado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9A0479">
        <w:rPr>
          <w:rFonts w:ascii="Arial" w:hAnsi="Arial" w:cs="Arial"/>
          <w:sz w:val="22"/>
          <w:szCs w:val="22"/>
        </w:rPr>
        <w:t>la presentación de un Plan de Mitigación;</w:t>
      </w:r>
    </w:p>
    <w:p w14:paraId="231E9880" w14:textId="77777777" w:rsidR="009A0479" w:rsidRPr="009A0479" w:rsidRDefault="009A0479" w:rsidP="00D66B79">
      <w:pPr>
        <w:pStyle w:val="Sinespaciado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9A0479">
        <w:rPr>
          <w:rFonts w:ascii="Arial" w:hAnsi="Arial" w:cs="Arial"/>
          <w:sz w:val="22"/>
          <w:szCs w:val="22"/>
        </w:rPr>
        <w:t>un cronograma de desmonte;</w:t>
      </w:r>
    </w:p>
    <w:p w14:paraId="67CD246D" w14:textId="77777777" w:rsidR="009A0479" w:rsidRPr="009A0479" w:rsidRDefault="009A0479" w:rsidP="00D66B79">
      <w:pPr>
        <w:pStyle w:val="Sinespaciado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9A0479">
        <w:rPr>
          <w:rFonts w:ascii="Arial" w:hAnsi="Arial" w:cs="Arial"/>
          <w:sz w:val="22"/>
          <w:szCs w:val="22"/>
        </w:rPr>
        <w:t>el traslado progresivo de la actividad;</w:t>
      </w:r>
    </w:p>
    <w:p w14:paraId="43FB5B74" w14:textId="77777777" w:rsidR="009A0479" w:rsidRPr="009A0479" w:rsidRDefault="009A0479" w:rsidP="00D66B79">
      <w:pPr>
        <w:pStyle w:val="Sinespaciado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9A0479">
        <w:rPr>
          <w:rFonts w:ascii="Arial" w:hAnsi="Arial" w:cs="Arial"/>
          <w:sz w:val="22"/>
          <w:szCs w:val="22"/>
        </w:rPr>
        <w:t>la ejecución de dicho proceso dentro del término inicialmente previsto de doce (12) meses;</w:t>
      </w:r>
    </w:p>
    <w:p w14:paraId="1CF037F3" w14:textId="77777777" w:rsidR="009A0479" w:rsidRPr="009A0479" w:rsidRDefault="009A0479" w:rsidP="00D66B79">
      <w:pPr>
        <w:pStyle w:val="Sinespaciado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9A0479">
        <w:rPr>
          <w:rFonts w:ascii="Arial" w:hAnsi="Arial" w:cs="Arial"/>
          <w:sz w:val="22"/>
          <w:szCs w:val="22"/>
        </w:rPr>
        <w:t>el mantenimiento de las medidas de mitigación durante todo el proceso de transición.</w:t>
      </w:r>
    </w:p>
    <w:p w14:paraId="469F31B4" w14:textId="77777777" w:rsid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9A0479">
        <w:rPr>
          <w:rFonts w:ascii="Arial" w:hAnsi="Arial" w:cs="Arial"/>
          <w:sz w:val="22"/>
          <w:szCs w:val="22"/>
        </w:rPr>
        <w:lastRenderedPageBreak/>
        <w:t>Incluso, el artículo cuarto de la Resolución dispuso expresamente que el plan de mitigación constituye una autorización temporal para el ejercicio de la actividad mientras se surte el proceso de traslado y desmonte, circunstancia que demuestra que el acto administrativo contempló desde su expedición una fase de ejecución progresiva y no una obligación de cumplimiento instantáneo.</w:t>
      </w:r>
    </w:p>
    <w:p w14:paraId="1B3FC330" w14:textId="77777777" w:rsidR="00D66B79" w:rsidRPr="009A0479" w:rsidRDefault="00D66B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6442AAB8" w14:textId="77777777" w:rsid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9A0479">
        <w:rPr>
          <w:rFonts w:ascii="Arial" w:hAnsi="Arial" w:cs="Arial"/>
          <w:sz w:val="22"/>
          <w:szCs w:val="22"/>
        </w:rPr>
        <w:t>En consecuencia, la Resolución No. 589 continúa plenamente vigente, conserva su fuerza ejecutoria y mantiene incólume tanto la clasificación de la actividad industrial como la obligación de culminar el traslado definitivo de la planta.</w:t>
      </w:r>
    </w:p>
    <w:p w14:paraId="5B543127" w14:textId="77777777" w:rsidR="00D66B79" w:rsidRPr="009A0479" w:rsidRDefault="00D66B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6C9C36FF" w14:textId="77777777" w:rsidR="009A0479" w:rsidRP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9A0479">
        <w:rPr>
          <w:rFonts w:ascii="Arial" w:hAnsi="Arial" w:cs="Arial"/>
          <w:sz w:val="22"/>
          <w:szCs w:val="22"/>
        </w:rPr>
        <w:t>Dentro de ese contexto jurídico, el Oficio AMC-DA-029-2026 y el Acta de Compromiso No. 002-2026 no modificaron el contenido normativo de la Resolución, ni alteraron la clasificación urbanística de la actividad, ni dejaron sin efectos la obligación de traslado.</w:t>
      </w:r>
    </w:p>
    <w:p w14:paraId="25B8E850" w14:textId="77777777" w:rsidR="00D66B79" w:rsidRDefault="00D66B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3FF6D2E4" w14:textId="47EE8D8B" w:rsidR="009A0479" w:rsidRP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9A0479">
        <w:rPr>
          <w:rFonts w:ascii="Arial" w:hAnsi="Arial" w:cs="Arial"/>
          <w:sz w:val="22"/>
          <w:szCs w:val="22"/>
        </w:rPr>
        <w:t>Estas actuaciones administrativas corresponden al ejercicio de las facultades de seguimiento, coordinación, inspección y control inherentes a la etapa de ejecución del acto administrativo, mediante las cuales la Administración verificó el avance real del plan de mitigación, evaluó las circunstancias técnicas acreditadas por el administrado y fijó las condiciones bajo las cuales debía culminarse el proceso de transición previamente ordenado.</w:t>
      </w:r>
    </w:p>
    <w:p w14:paraId="578A0DFA" w14:textId="77777777" w:rsidR="00D66B79" w:rsidRDefault="00D66B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7B055136" w14:textId="41B4FE3C" w:rsidR="009A0479" w:rsidRP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9A0479">
        <w:rPr>
          <w:rFonts w:ascii="Arial" w:hAnsi="Arial" w:cs="Arial"/>
          <w:sz w:val="22"/>
          <w:szCs w:val="22"/>
        </w:rPr>
        <w:t>Debe resaltarse que la Resolución No. 589 sustentó ampliamente la necesidad de armonizar el ejercicio de la actividad económica con los principios constitucionales del ordenamiento territorial, la función social y ecológica de la propiedad y la prevalencia del interés general, citando para ello la jurisprudencia de la Corte Constitucional y del Consejo de Estado sobre la regulación de los usos del suelo.</w:t>
      </w:r>
    </w:p>
    <w:p w14:paraId="4D47B5B5" w14:textId="77777777" w:rsidR="00D66B79" w:rsidRDefault="00D66B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3A81E6D9" w14:textId="664702EA" w:rsid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9A0479">
        <w:rPr>
          <w:rFonts w:ascii="Arial" w:hAnsi="Arial" w:cs="Arial"/>
          <w:sz w:val="22"/>
          <w:szCs w:val="22"/>
        </w:rPr>
        <w:t>Por tanto, toda actuación posterior debe interpretarse conforme a dicho marco jurídico, esto es, como actuaciones dirigidas a garantizar el cumplimiento efectivo de la decisión administrativa y no como actos modificatorios de la misma.</w:t>
      </w:r>
    </w:p>
    <w:p w14:paraId="0E9341A8" w14:textId="77777777" w:rsidR="00D66B79" w:rsidRDefault="00D66B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41BB7C84" w14:textId="5312AD68" w:rsid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9A0479">
        <w:rPr>
          <w:rFonts w:ascii="Arial" w:hAnsi="Arial" w:cs="Arial"/>
          <w:sz w:val="22"/>
          <w:szCs w:val="22"/>
        </w:rPr>
        <w:t>La Resolución No. 589 constituye un acto administrativo ejecutoriado y conserva plena fuerza ejecutoria. Conforme a los artículos 87 y siguientes del CPACA, los actos administrativos obligan mientras no sean suspendidos, anulados, revocados o pierdan fuerza ejecutoria por las causales legales.</w:t>
      </w:r>
    </w:p>
    <w:p w14:paraId="64D346D1" w14:textId="77777777" w:rsidR="009A0479" w:rsidRP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50A4BA9B" w14:textId="77777777" w:rsid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9A0479">
        <w:rPr>
          <w:rFonts w:ascii="Arial" w:hAnsi="Arial" w:cs="Arial"/>
          <w:sz w:val="22"/>
          <w:szCs w:val="22"/>
        </w:rPr>
        <w:t>Debe distinguirse entre la modificación de un acto administrativo y las actuaciones materiales encaminadas a su ejecución. La primera exige la expedición de un nuevo acto administrativo con competencia y motivación; las segundas corresponden al ejercicio de la autotutela administrativa para garantizar el cumplimiento efectivo de la decisión previamente adoptada.</w:t>
      </w:r>
    </w:p>
    <w:p w14:paraId="675E636A" w14:textId="77777777" w:rsidR="009A0479" w:rsidRP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5A97A04D" w14:textId="77777777" w:rsid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9A0479">
        <w:rPr>
          <w:rFonts w:ascii="Arial" w:hAnsi="Arial" w:cs="Arial"/>
          <w:sz w:val="22"/>
          <w:szCs w:val="22"/>
        </w:rPr>
        <w:t>La propia Resolución No. 589 diseñó un régimen de transición. En consecuencia, el seguimiento al cronograma, la verificación de avances, la exigencia de medidas de mitigación y la suscripción de compromisos de ejecución hacen parte de la etapa de cumplimiento del acto administrativo y no alteran su contenido.</w:t>
      </w:r>
    </w:p>
    <w:p w14:paraId="73175047" w14:textId="77777777" w:rsidR="009A0479" w:rsidRP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05ED9B91" w14:textId="77777777" w:rsid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9A0479">
        <w:rPr>
          <w:rFonts w:ascii="Arial" w:hAnsi="Arial" w:cs="Arial"/>
          <w:sz w:val="22"/>
          <w:szCs w:val="22"/>
        </w:rPr>
        <w:t>La Resolución fundamentó igualmente su decisión en los principios constitucionales de prevalencia del interés general, función social y ecológica de la propiedad, ordenamiento territorial, protección ambiental y convivencia ciudadana, citando jurisprudencia de la Corte Constitucional y del Consejo de Estado sobre la legitimidad de imponer restricciones derivadas del uso del suelo.</w:t>
      </w:r>
    </w:p>
    <w:p w14:paraId="37B536AE" w14:textId="77777777" w:rsidR="009A0479" w:rsidRP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0775CB3E" w14:textId="3DFF8F52" w:rsid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9A0479">
        <w:rPr>
          <w:rFonts w:ascii="Arial" w:hAnsi="Arial" w:cs="Arial"/>
          <w:sz w:val="22"/>
          <w:szCs w:val="22"/>
        </w:rPr>
        <w:t xml:space="preserve">La Administración distingue entre la existencia del acto administrativo y su fase de ejecución. Las actuaciones de seguimiento, control, requerimiento, verificación del cronograma, coordinación interinstitucional y evaluación de avances constituyen mecanismos legítimos de ejecución destinados a hacer efectiva la Resolución No. 589, sin alterar su contenido, su motivación ni sus efectos jurídicos. En ese sentido, la actuación </w:t>
      </w:r>
      <w:r w:rsidRPr="009A0479">
        <w:rPr>
          <w:rFonts w:ascii="Arial" w:hAnsi="Arial" w:cs="Arial"/>
          <w:sz w:val="22"/>
          <w:szCs w:val="22"/>
        </w:rPr>
        <w:lastRenderedPageBreak/>
        <w:t>administrativa se mantiene dentro del marco del principio de legalidad, del debido proceso administrativo y de la eficacia de la función administrativa.</w:t>
      </w:r>
    </w:p>
    <w:p w14:paraId="3E227CE2" w14:textId="77777777" w:rsidR="00D66B79" w:rsidRPr="009A0479" w:rsidRDefault="00D66B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567763F1" w14:textId="2F1AA300" w:rsidR="009A0479" w:rsidRDefault="00D66B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Dicho esto se procede a dar respuesta en los siguientes términos:</w:t>
      </w:r>
    </w:p>
    <w:p w14:paraId="1A51B9A7" w14:textId="77777777" w:rsidR="00D66B79" w:rsidRPr="009A0479" w:rsidRDefault="00D66B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3D420219" w14:textId="77777777" w:rsid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D66B79">
        <w:rPr>
          <w:rFonts w:ascii="Arial" w:hAnsi="Arial" w:cs="Arial"/>
          <w:b/>
          <w:bCs/>
          <w:sz w:val="22"/>
          <w:szCs w:val="22"/>
        </w:rPr>
        <w:t>Primera.</w:t>
      </w:r>
      <w:r w:rsidRPr="009A0479">
        <w:rPr>
          <w:rFonts w:ascii="Arial" w:hAnsi="Arial" w:cs="Arial"/>
          <w:sz w:val="22"/>
          <w:szCs w:val="22"/>
        </w:rPr>
        <w:t xml:space="preserve"> La actuación administrativa se sustentó en las competencias constitucionales y legales del Municipio para dirigir el ordenamiento territorial, ejercer funciones de policía administrativa y garantizar el cumplimiento de la Resolución No. 589 de 2024.</w:t>
      </w:r>
    </w:p>
    <w:p w14:paraId="19DCE520" w14:textId="77777777" w:rsidR="00D66B79" w:rsidRPr="009A0479" w:rsidRDefault="00D66B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285741FD" w14:textId="77777777" w:rsid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D66B79">
        <w:rPr>
          <w:rFonts w:ascii="Arial" w:hAnsi="Arial" w:cs="Arial"/>
          <w:b/>
          <w:bCs/>
          <w:sz w:val="22"/>
          <w:szCs w:val="22"/>
        </w:rPr>
        <w:t>Segunda.</w:t>
      </w:r>
      <w:r w:rsidRPr="009A0479">
        <w:rPr>
          <w:rFonts w:ascii="Arial" w:hAnsi="Arial" w:cs="Arial"/>
          <w:sz w:val="22"/>
          <w:szCs w:val="22"/>
        </w:rPr>
        <w:t xml:space="preserve"> El Acta de Compromiso No. 002-2026 no modificó, adicionó, suspendió, revocó ni sustituyó la Resolución No. 589 de 2024. La clasificación de la actividad como Industria Grupo III y la obligación de traslado permanecen inalteradas. El acta constituye un instrumento de ejecución y seguimiento del régimen de transición previsto desde la propia resolución.</w:t>
      </w:r>
    </w:p>
    <w:p w14:paraId="4C55B29C" w14:textId="77777777" w:rsidR="00D66B79" w:rsidRPr="009A0479" w:rsidRDefault="00D66B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368B56A2" w14:textId="77777777" w:rsid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D66B79">
        <w:rPr>
          <w:rFonts w:ascii="Arial" w:hAnsi="Arial" w:cs="Arial"/>
          <w:b/>
          <w:bCs/>
          <w:sz w:val="22"/>
          <w:szCs w:val="22"/>
        </w:rPr>
        <w:t>Tercera.</w:t>
      </w:r>
      <w:r w:rsidRPr="009A0479">
        <w:rPr>
          <w:rFonts w:ascii="Arial" w:hAnsi="Arial" w:cs="Arial"/>
          <w:sz w:val="22"/>
          <w:szCs w:val="22"/>
        </w:rPr>
        <w:t xml:space="preserve"> El procedimiento comprendió la evaluación técnica del estado de cumplimiento, el análisis jurídico, la revisión documental, la verificación del cronograma y la coordinación interinstitucional. Al no modificarse el contenido de la resolución, no fue necesaria la expedición de un nuevo acto administrativo modificatorio.</w:t>
      </w:r>
    </w:p>
    <w:p w14:paraId="5BC02E6E" w14:textId="77777777" w:rsidR="00D66B79" w:rsidRPr="009A0479" w:rsidRDefault="00D66B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1A8768E2" w14:textId="35B39C31" w:rsidR="009A0479" w:rsidRP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D66B79">
        <w:rPr>
          <w:rFonts w:ascii="Arial" w:hAnsi="Arial" w:cs="Arial"/>
          <w:b/>
          <w:bCs/>
          <w:sz w:val="22"/>
          <w:szCs w:val="22"/>
        </w:rPr>
        <w:t>Cuarta.</w:t>
      </w:r>
      <w:r w:rsidRPr="009A0479">
        <w:rPr>
          <w:rFonts w:ascii="Arial" w:hAnsi="Arial" w:cs="Arial"/>
          <w:sz w:val="22"/>
          <w:szCs w:val="22"/>
        </w:rPr>
        <w:t xml:space="preserve"> </w:t>
      </w:r>
      <w:r w:rsidR="00D66B79">
        <w:rPr>
          <w:rFonts w:ascii="Arial" w:hAnsi="Arial" w:cs="Arial"/>
          <w:sz w:val="22"/>
          <w:szCs w:val="22"/>
        </w:rPr>
        <w:t xml:space="preserve">La decisión se sustentó en el informe de avance presentado por la Empresa </w:t>
      </w:r>
      <w:r w:rsidR="00CF1CFF">
        <w:rPr>
          <w:rFonts w:ascii="Arial" w:hAnsi="Arial" w:cs="Arial"/>
          <w:sz w:val="22"/>
          <w:szCs w:val="22"/>
        </w:rPr>
        <w:t>no existe un documento técnico generado por la administración municipal</w:t>
      </w:r>
      <w:r w:rsidRPr="009A0479">
        <w:rPr>
          <w:rFonts w:ascii="Arial" w:hAnsi="Arial" w:cs="Arial"/>
          <w:sz w:val="22"/>
          <w:szCs w:val="22"/>
        </w:rPr>
        <w:t>.</w:t>
      </w:r>
    </w:p>
    <w:p w14:paraId="2CA975D0" w14:textId="77777777" w:rsidR="00D66B79" w:rsidRDefault="00D66B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57CF6C62" w14:textId="46133A34" w:rsidR="009A0479" w:rsidRP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D66B79">
        <w:rPr>
          <w:rFonts w:ascii="Arial" w:hAnsi="Arial" w:cs="Arial"/>
          <w:b/>
          <w:bCs/>
          <w:sz w:val="22"/>
          <w:szCs w:val="22"/>
        </w:rPr>
        <w:t>Quinta.</w:t>
      </w:r>
      <w:r w:rsidRPr="009A0479">
        <w:rPr>
          <w:rFonts w:ascii="Arial" w:hAnsi="Arial" w:cs="Arial"/>
          <w:sz w:val="22"/>
          <w:szCs w:val="22"/>
        </w:rPr>
        <w:t xml:space="preserve"> </w:t>
      </w:r>
      <w:r w:rsidR="00D66B79">
        <w:rPr>
          <w:rFonts w:ascii="Arial" w:hAnsi="Arial" w:cs="Arial"/>
          <w:sz w:val="22"/>
          <w:szCs w:val="22"/>
        </w:rPr>
        <w:t>No existe el concepto jurídico por usted solicitado</w:t>
      </w:r>
      <w:r w:rsidRPr="009A0479">
        <w:rPr>
          <w:rFonts w:ascii="Arial" w:hAnsi="Arial" w:cs="Arial"/>
          <w:sz w:val="22"/>
          <w:szCs w:val="22"/>
        </w:rPr>
        <w:t>.</w:t>
      </w:r>
    </w:p>
    <w:p w14:paraId="4B7DD3FA" w14:textId="77777777" w:rsidR="009A0479" w:rsidRP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3539F8A2" w14:textId="2B144864" w:rsid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D66B79">
        <w:rPr>
          <w:rFonts w:ascii="Arial" w:hAnsi="Arial" w:cs="Arial"/>
          <w:b/>
          <w:bCs/>
          <w:sz w:val="22"/>
          <w:szCs w:val="22"/>
        </w:rPr>
        <w:t>Sexta.</w:t>
      </w:r>
      <w:r w:rsidRPr="009A0479">
        <w:rPr>
          <w:rFonts w:ascii="Arial" w:hAnsi="Arial" w:cs="Arial"/>
          <w:sz w:val="22"/>
          <w:szCs w:val="22"/>
        </w:rPr>
        <w:t xml:space="preserve"> La Administración no ha </w:t>
      </w:r>
      <w:r w:rsidR="00D66B79">
        <w:rPr>
          <w:rFonts w:ascii="Arial" w:hAnsi="Arial" w:cs="Arial"/>
          <w:sz w:val="22"/>
          <w:szCs w:val="22"/>
        </w:rPr>
        <w:t>contemplado</w:t>
      </w:r>
      <w:r w:rsidRPr="009A0479">
        <w:rPr>
          <w:rFonts w:ascii="Arial" w:hAnsi="Arial" w:cs="Arial"/>
          <w:sz w:val="22"/>
          <w:szCs w:val="22"/>
        </w:rPr>
        <w:t xml:space="preserve"> </w:t>
      </w:r>
      <w:r w:rsidR="00D66B79">
        <w:rPr>
          <w:rFonts w:ascii="Arial" w:hAnsi="Arial" w:cs="Arial"/>
          <w:sz w:val="22"/>
          <w:szCs w:val="22"/>
        </w:rPr>
        <w:t>actualmente prorroga alguna,</w:t>
      </w:r>
      <w:r w:rsidRPr="009A0479">
        <w:rPr>
          <w:rFonts w:ascii="Arial" w:hAnsi="Arial" w:cs="Arial"/>
          <w:sz w:val="22"/>
          <w:szCs w:val="22"/>
        </w:rPr>
        <w:t xml:space="preserve"> </w:t>
      </w:r>
      <w:r w:rsidR="00D66B79">
        <w:rPr>
          <w:rFonts w:ascii="Arial" w:hAnsi="Arial" w:cs="Arial"/>
          <w:sz w:val="22"/>
          <w:szCs w:val="22"/>
        </w:rPr>
        <w:t>t</w:t>
      </w:r>
      <w:r w:rsidRPr="009A0479">
        <w:rPr>
          <w:rFonts w:ascii="Arial" w:hAnsi="Arial" w:cs="Arial"/>
          <w:sz w:val="22"/>
          <w:szCs w:val="22"/>
        </w:rPr>
        <w:t>oda petición eventual será estudiada con base en las circunstancias acreditadas, la normatividad vigente y el interés general comprometido.</w:t>
      </w:r>
    </w:p>
    <w:p w14:paraId="0F623118" w14:textId="77777777" w:rsidR="00D66B79" w:rsidRPr="009A0479" w:rsidRDefault="00D66B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0C043E63" w14:textId="77777777" w:rsid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D66B79">
        <w:rPr>
          <w:rFonts w:ascii="Arial" w:hAnsi="Arial" w:cs="Arial"/>
          <w:b/>
          <w:bCs/>
          <w:sz w:val="22"/>
          <w:szCs w:val="22"/>
        </w:rPr>
        <w:t>Séptima.</w:t>
      </w:r>
      <w:r w:rsidRPr="009A0479">
        <w:rPr>
          <w:rFonts w:ascii="Arial" w:hAnsi="Arial" w:cs="Arial"/>
          <w:sz w:val="22"/>
          <w:szCs w:val="22"/>
        </w:rPr>
        <w:t xml:space="preserve"> Continúan desarrollándose visitas técnicas, seguimiento al cronograma, verificación de las medidas de mitigación y coordinación entre las dependencias competentes para verificar el cumplimiento de la Resolución.</w:t>
      </w:r>
    </w:p>
    <w:p w14:paraId="7C98E451" w14:textId="77777777" w:rsidR="00D66B79" w:rsidRPr="009A0479" w:rsidRDefault="00D66B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</w:p>
    <w:p w14:paraId="19DA2626" w14:textId="77777777" w:rsidR="009A0479" w:rsidRDefault="009A0479" w:rsidP="009A0479">
      <w:pPr>
        <w:pStyle w:val="Sinespaciado"/>
        <w:jc w:val="both"/>
        <w:rPr>
          <w:rFonts w:ascii="Arial" w:hAnsi="Arial" w:cs="Arial"/>
          <w:sz w:val="22"/>
          <w:szCs w:val="22"/>
        </w:rPr>
      </w:pPr>
      <w:r w:rsidRPr="00D66B79">
        <w:rPr>
          <w:rFonts w:ascii="Arial" w:hAnsi="Arial" w:cs="Arial"/>
          <w:b/>
          <w:bCs/>
          <w:sz w:val="22"/>
          <w:szCs w:val="22"/>
        </w:rPr>
        <w:t>Octava.</w:t>
      </w:r>
      <w:r w:rsidRPr="009A0479">
        <w:rPr>
          <w:rFonts w:ascii="Arial" w:hAnsi="Arial" w:cs="Arial"/>
          <w:sz w:val="22"/>
          <w:szCs w:val="22"/>
        </w:rPr>
        <w:t xml:space="preserve"> La Administración continuará ejerciendo las facultades de inspección, vigilancia, control urbanístico y policía administrativa hasta lograr el cumplimiento integral de la Resolución No. 589 de 2024.</w:t>
      </w:r>
    </w:p>
    <w:p w14:paraId="6B91DA9B" w14:textId="77777777" w:rsidR="009549E2" w:rsidRDefault="009549E2" w:rsidP="00F01CAB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14:paraId="187240BD" w14:textId="633E6411" w:rsidR="00F01CAB" w:rsidRPr="00D66B79" w:rsidRDefault="00F01CAB" w:rsidP="00F01CAB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D66B79">
        <w:rPr>
          <w:rFonts w:ascii="Arial" w:hAnsi="Arial" w:cs="Arial"/>
          <w:sz w:val="22"/>
          <w:szCs w:val="22"/>
          <w:lang w:val="es-ES_tradnl"/>
        </w:rPr>
        <w:t xml:space="preserve">Atentamente, </w:t>
      </w:r>
    </w:p>
    <w:p w14:paraId="722A4DED" w14:textId="77777777" w:rsidR="00F01CAB" w:rsidRPr="00D66B79" w:rsidRDefault="00F01CAB" w:rsidP="00F01CAB">
      <w:pPr>
        <w:rPr>
          <w:rFonts w:ascii="Arial" w:hAnsi="Arial" w:cs="Arial"/>
          <w:sz w:val="22"/>
          <w:szCs w:val="22"/>
          <w:lang w:val="es-ES_tradnl"/>
        </w:rPr>
      </w:pPr>
    </w:p>
    <w:p w14:paraId="5BFC70EF" w14:textId="77777777" w:rsidR="00F01CAB" w:rsidRPr="00D66B79" w:rsidRDefault="00F01CAB" w:rsidP="00F01CA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14:paraId="7E857A21" w14:textId="77777777" w:rsidR="00F01CAB" w:rsidRPr="00D66B79" w:rsidRDefault="00F01CAB" w:rsidP="00F01CA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14:paraId="1E000C4D" w14:textId="77777777" w:rsidR="00343BD5" w:rsidRPr="00D66B79" w:rsidRDefault="00343BD5" w:rsidP="00343BD5">
      <w:pPr>
        <w:rPr>
          <w:rFonts w:ascii="Arial" w:eastAsia="Times New Roman" w:hAnsi="Arial" w:cs="Arial"/>
          <w:sz w:val="22"/>
          <w:szCs w:val="22"/>
          <w:lang w:val="es-ES_tradnl" w:eastAsia="es-CO"/>
        </w:rPr>
      </w:pPr>
    </w:p>
    <w:p w14:paraId="02E4A7C4" w14:textId="2AD97792" w:rsidR="00343BD5" w:rsidRPr="00D66B79" w:rsidRDefault="009549E2" w:rsidP="00343BD5">
      <w:pPr>
        <w:jc w:val="center"/>
        <w:rPr>
          <w:rFonts w:ascii="Arial" w:eastAsia="Times New Roman" w:hAnsi="Arial" w:cs="Arial"/>
          <w:sz w:val="22"/>
          <w:szCs w:val="22"/>
          <w:lang w:val="es-ES_tradnl" w:eastAsia="es-CO"/>
        </w:rPr>
      </w:pPr>
      <w:r w:rsidRPr="00D66B79">
        <w:rPr>
          <w:rFonts w:ascii="Arial" w:eastAsia="Times New Roman" w:hAnsi="Arial" w:cs="Arial"/>
          <w:b/>
          <w:bCs/>
          <w:color w:val="000000"/>
          <w:sz w:val="22"/>
          <w:szCs w:val="22"/>
          <w:lang w:val="es-ES_tradnl" w:eastAsia="es-CO"/>
        </w:rPr>
        <w:t>FABIOLA JACOME RINCÓN</w:t>
      </w:r>
    </w:p>
    <w:p w14:paraId="1904A9C0" w14:textId="2A23FE7B" w:rsidR="00343BD5" w:rsidRPr="00D66B79" w:rsidRDefault="00343BD5" w:rsidP="00343BD5">
      <w:pPr>
        <w:jc w:val="center"/>
        <w:rPr>
          <w:rFonts w:ascii="Arial" w:eastAsia="Times New Roman" w:hAnsi="Arial" w:cs="Arial"/>
          <w:color w:val="000000"/>
          <w:sz w:val="22"/>
          <w:szCs w:val="22"/>
          <w:lang w:val="es-ES_tradnl" w:eastAsia="es-CO"/>
        </w:rPr>
      </w:pPr>
      <w:r w:rsidRPr="00D66B79">
        <w:rPr>
          <w:rFonts w:ascii="Arial" w:eastAsia="Times New Roman" w:hAnsi="Arial" w:cs="Arial"/>
          <w:color w:val="000000"/>
          <w:sz w:val="22"/>
          <w:szCs w:val="22"/>
          <w:lang w:val="es-ES_tradnl" w:eastAsia="es-CO"/>
        </w:rPr>
        <w:t>Alcalde</w:t>
      </w:r>
      <w:r w:rsidR="009549E2" w:rsidRPr="00D66B79">
        <w:rPr>
          <w:rFonts w:ascii="Arial" w:eastAsia="Times New Roman" w:hAnsi="Arial" w:cs="Arial"/>
          <w:color w:val="000000"/>
          <w:sz w:val="22"/>
          <w:szCs w:val="22"/>
          <w:lang w:val="es-ES_tradnl" w:eastAsia="es-CO"/>
        </w:rPr>
        <w:t>sa</w:t>
      </w:r>
      <w:r w:rsidRPr="00D66B79">
        <w:rPr>
          <w:rFonts w:ascii="Arial" w:eastAsia="Times New Roman" w:hAnsi="Arial" w:cs="Arial"/>
          <w:color w:val="000000"/>
          <w:sz w:val="22"/>
          <w:szCs w:val="22"/>
          <w:lang w:val="es-ES_tradnl" w:eastAsia="es-CO"/>
        </w:rPr>
        <w:t xml:space="preserve"> Municipal de Cajicá</w:t>
      </w:r>
      <w:r w:rsidR="006F6539" w:rsidRPr="00D66B79">
        <w:rPr>
          <w:rFonts w:ascii="Arial" w:eastAsia="Times New Roman" w:hAnsi="Arial" w:cs="Arial"/>
          <w:color w:val="000000"/>
          <w:sz w:val="22"/>
          <w:szCs w:val="22"/>
          <w:lang w:val="es-ES_tradnl" w:eastAsia="es-CO"/>
        </w:rPr>
        <w:t>.</w:t>
      </w:r>
    </w:p>
    <w:p w14:paraId="56BB7EDF" w14:textId="77777777" w:rsidR="00F534A4" w:rsidRDefault="00F534A4" w:rsidP="00343BD5">
      <w:pPr>
        <w:jc w:val="center"/>
        <w:rPr>
          <w:rFonts w:eastAsia="Times New Roman"/>
          <w:color w:val="000000"/>
          <w:sz w:val="22"/>
          <w:szCs w:val="22"/>
          <w:lang w:val="es-ES_tradnl" w:eastAsia="es-CO"/>
        </w:rPr>
      </w:pPr>
    </w:p>
    <w:p w14:paraId="604A5F20" w14:textId="77777777" w:rsidR="00F534A4" w:rsidRDefault="00F534A4" w:rsidP="00343BD5">
      <w:pPr>
        <w:jc w:val="center"/>
        <w:rPr>
          <w:rFonts w:eastAsia="Times New Roman"/>
          <w:color w:val="000000"/>
          <w:sz w:val="22"/>
          <w:szCs w:val="22"/>
          <w:lang w:val="es-ES_tradnl" w:eastAsia="es-CO"/>
        </w:rPr>
      </w:pPr>
    </w:p>
    <w:p w14:paraId="62F0F049" w14:textId="77777777" w:rsidR="00343BD5" w:rsidRPr="00AE7E25" w:rsidRDefault="00343BD5" w:rsidP="00343BD5">
      <w:pPr>
        <w:rPr>
          <w:rFonts w:ascii="Times New Roman" w:eastAsia="Times New Roman" w:hAnsi="Times New Roman" w:cs="Times New Roman"/>
          <w:sz w:val="22"/>
          <w:szCs w:val="22"/>
          <w:lang w:val="es-ES_tradnl" w:eastAsia="es-CO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2"/>
        <w:gridCol w:w="2999"/>
        <w:gridCol w:w="1117"/>
        <w:gridCol w:w="3485"/>
      </w:tblGrid>
      <w:tr w:rsidR="00343BD5" w:rsidRPr="00FA0152" w14:paraId="3A1F8B6F" w14:textId="77777777" w:rsidTr="00AE7E25">
        <w:trPr>
          <w:trHeight w:val="283"/>
        </w:trPr>
        <w:tc>
          <w:tcPr>
            <w:tcW w:w="0" w:type="auto"/>
            <w:tcBorders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3F0094" w14:textId="77777777" w:rsidR="00343BD5" w:rsidRPr="00FA0152" w:rsidRDefault="00343BD5" w:rsidP="00343BD5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C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06025D" w14:textId="77777777" w:rsidR="00343BD5" w:rsidRPr="00FA0152" w:rsidRDefault="00343BD5" w:rsidP="00343BD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CO"/>
              </w:rPr>
            </w:pPr>
            <w:r w:rsidRPr="00FA0152">
              <w:rPr>
                <w:rFonts w:eastAsia="Times New Roman"/>
                <w:b/>
                <w:bCs/>
                <w:color w:val="000000"/>
                <w:sz w:val="16"/>
                <w:szCs w:val="16"/>
                <w:lang w:val="es-ES_tradnl" w:eastAsia="es-CO"/>
              </w:rPr>
              <w:t>NOMBRE Y APELLIDO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956009" w14:textId="77777777" w:rsidR="00343BD5" w:rsidRPr="00FA0152" w:rsidRDefault="00343BD5" w:rsidP="00343BD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CO"/>
              </w:rPr>
            </w:pPr>
            <w:r w:rsidRPr="00FA0152">
              <w:rPr>
                <w:rFonts w:eastAsia="Times New Roman"/>
                <w:b/>
                <w:bCs/>
                <w:color w:val="000000"/>
                <w:sz w:val="16"/>
                <w:szCs w:val="16"/>
                <w:lang w:val="es-ES_tradnl" w:eastAsia="es-CO"/>
              </w:rPr>
              <w:t>FIRMA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92003A" w14:textId="77777777" w:rsidR="00343BD5" w:rsidRPr="00FA0152" w:rsidRDefault="00343BD5" w:rsidP="00343BD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CO"/>
              </w:rPr>
            </w:pPr>
            <w:r w:rsidRPr="00FA0152">
              <w:rPr>
                <w:rFonts w:eastAsia="Times New Roman"/>
                <w:b/>
                <w:bCs/>
                <w:color w:val="000000"/>
                <w:sz w:val="16"/>
                <w:szCs w:val="16"/>
                <w:lang w:val="es-ES_tradnl" w:eastAsia="es-CO"/>
              </w:rPr>
              <w:t>CARGO Y ÁREA</w:t>
            </w:r>
          </w:p>
        </w:tc>
      </w:tr>
      <w:tr w:rsidR="00AE7E25" w:rsidRPr="00FA0152" w14:paraId="3E56609F" w14:textId="77777777" w:rsidTr="00AE7E25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DF5EF7" w14:textId="2A0E5D65" w:rsidR="00AE7E25" w:rsidRPr="00FA0152" w:rsidRDefault="00AE7E25" w:rsidP="00AE7E25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val="es-ES_tradnl" w:eastAsia="es-CO"/>
              </w:rPr>
            </w:pPr>
            <w:r w:rsidRPr="00FA0152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val="es-ES_tradnl" w:eastAsia="es-CO"/>
              </w:rPr>
              <w:t>Elaboró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4AED17" w14:textId="13C9EFB0" w:rsidR="00AE7E25" w:rsidRPr="009549E2" w:rsidRDefault="009549E2" w:rsidP="00343BD5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s-ES_tradnl" w:eastAsia="es-CO"/>
              </w:rPr>
            </w:pPr>
            <w:r w:rsidRPr="009549E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s-ES_tradnl" w:eastAsia="es-CO"/>
              </w:rPr>
              <w:t>Carolina López Cogua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767082" w14:textId="77777777" w:rsidR="00AE7E25" w:rsidRPr="00FA0152" w:rsidRDefault="00AE7E25" w:rsidP="00343BD5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val="es-ES_tradnl" w:eastAsia="es-C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C70D4F" w14:textId="125EF7AF" w:rsidR="00AE7E25" w:rsidRPr="009549E2" w:rsidRDefault="009549E2" w:rsidP="00343BD5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s-ES_tradnl" w:eastAsia="es-CO"/>
              </w:rPr>
            </w:pPr>
            <w:r w:rsidRPr="009549E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s-ES_tradnl" w:eastAsia="es-CO"/>
              </w:rPr>
              <w:t>Profesional Universitario</w:t>
            </w:r>
          </w:p>
        </w:tc>
      </w:tr>
      <w:tr w:rsidR="00343BD5" w:rsidRPr="00FA0152" w14:paraId="3773C822" w14:textId="77777777" w:rsidTr="00AE7E25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D39F97" w14:textId="77777777" w:rsidR="00343BD5" w:rsidRPr="00FA0152" w:rsidRDefault="00343BD5" w:rsidP="00343BD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CO"/>
              </w:rPr>
            </w:pPr>
            <w:r w:rsidRPr="00FA0152">
              <w:rPr>
                <w:rFonts w:eastAsia="Times New Roman"/>
                <w:b/>
                <w:bCs/>
                <w:color w:val="000000"/>
                <w:sz w:val="16"/>
                <w:szCs w:val="16"/>
                <w:lang w:val="es-ES_tradnl" w:eastAsia="es-CO"/>
              </w:rPr>
              <w:t>Revisó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9E2EF0" w14:textId="77777777" w:rsidR="00343BD5" w:rsidRPr="00FA0152" w:rsidRDefault="00343BD5" w:rsidP="00343BD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CO"/>
              </w:rPr>
            </w:pPr>
            <w:r w:rsidRPr="00FA0152">
              <w:rPr>
                <w:rFonts w:eastAsia="Times New Roman"/>
                <w:color w:val="000000"/>
                <w:sz w:val="16"/>
                <w:szCs w:val="16"/>
                <w:lang w:val="es-ES_tradnl" w:eastAsia="es-CO"/>
              </w:rPr>
              <w:t>Hugo Alejandro Palacios Santafé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7B60D0" w14:textId="77777777" w:rsidR="00343BD5" w:rsidRPr="00FA0152" w:rsidRDefault="00343BD5" w:rsidP="00343BD5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CO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3DEB2B" w14:textId="77777777" w:rsidR="00343BD5" w:rsidRPr="00FA0152" w:rsidRDefault="00343BD5" w:rsidP="00343BD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CO"/>
              </w:rPr>
            </w:pPr>
            <w:r w:rsidRPr="00FA0152">
              <w:rPr>
                <w:rFonts w:eastAsia="Times New Roman"/>
                <w:color w:val="000000"/>
                <w:sz w:val="16"/>
                <w:szCs w:val="16"/>
                <w:lang w:val="es-ES_tradnl" w:eastAsia="es-CO"/>
              </w:rPr>
              <w:t>Asesor jurídico externo del Despacho </w:t>
            </w:r>
          </w:p>
        </w:tc>
      </w:tr>
      <w:tr w:rsidR="00343BD5" w:rsidRPr="00FA0152" w14:paraId="06E045BD" w14:textId="77777777">
        <w:trPr>
          <w:trHeight w:val="536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B6D398" w14:textId="77777777" w:rsidR="00343BD5" w:rsidRPr="00FA0152" w:rsidRDefault="00343BD5" w:rsidP="00343BD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s-ES_tradnl" w:eastAsia="es-CO"/>
              </w:rPr>
            </w:pPr>
            <w:r w:rsidRPr="00FA0152">
              <w:rPr>
                <w:rFonts w:eastAsia="Times New Roman"/>
                <w:color w:val="000000"/>
                <w:sz w:val="16"/>
                <w:szCs w:val="16"/>
                <w:lang w:val="es-ES_tradnl" w:eastAsia="es-CO"/>
              </w:rPr>
              <w:t>Los firmantes, manifestamos expresamente que hemos estudiado y revisado el presente documento y por encontrarlo ajustado a las disposiciones constitucionales, legales y reglamentarias vigentes, lo presentamos para su firma bajo nuestra responsabilidad.</w:t>
            </w:r>
          </w:p>
        </w:tc>
      </w:tr>
    </w:tbl>
    <w:p w14:paraId="3F7E815B" w14:textId="19EF08E8" w:rsidR="00F01CAB" w:rsidRPr="00AE7E25" w:rsidRDefault="00F01CAB" w:rsidP="00F01CAB">
      <w:pPr>
        <w:spacing w:after="160" w:line="259" w:lineRule="auto"/>
        <w:rPr>
          <w:rFonts w:ascii="Arial" w:hAnsi="Arial" w:cs="Arial"/>
          <w:sz w:val="22"/>
          <w:szCs w:val="22"/>
          <w:lang w:val="es-ES_tradnl"/>
        </w:rPr>
      </w:pPr>
    </w:p>
    <w:sectPr w:rsidR="00F01CAB" w:rsidRPr="00AE7E25" w:rsidSect="00371840">
      <w:headerReference w:type="even" r:id="rId7"/>
      <w:headerReference w:type="default" r:id="rId8"/>
      <w:footerReference w:type="default" r:id="rId9"/>
      <w:headerReference w:type="first" r:id="rId10"/>
      <w:pgSz w:w="12240" w:h="18720" w:code="128"/>
      <w:pgMar w:top="1417" w:right="1701" w:bottom="1417" w:left="1701" w:header="708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7342C" w14:textId="77777777" w:rsidR="002C3D59" w:rsidRDefault="002C3D59">
      <w:r>
        <w:separator/>
      </w:r>
    </w:p>
  </w:endnote>
  <w:endnote w:type="continuationSeparator" w:id="0">
    <w:p w14:paraId="5CE3DB27" w14:textId="77777777" w:rsidR="002C3D59" w:rsidRDefault="002C3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0EBC2" w14:textId="77777777" w:rsidR="00026E95" w:rsidRDefault="008957A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-1701"/>
      <w:rPr>
        <w:color w:val="000000"/>
      </w:rPr>
    </w:pPr>
    <w:r>
      <w:rPr>
        <w:noProof/>
        <w:color w:val="000000"/>
      </w:rPr>
      <w:drawing>
        <wp:inline distT="0" distB="0" distL="0" distR="0" wp14:anchorId="0AD5FEEC" wp14:editId="4EA14DC5">
          <wp:extent cx="7902300" cy="111045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2409" r="-2409"/>
                  <a:stretch>
                    <a:fillRect/>
                  </a:stretch>
                </pic:blipFill>
                <pic:spPr>
                  <a:xfrm>
                    <a:off x="0" y="0"/>
                    <a:ext cx="7902300" cy="111045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69A11" w14:textId="77777777" w:rsidR="002C3D59" w:rsidRDefault="002C3D59">
      <w:r>
        <w:separator/>
      </w:r>
    </w:p>
  </w:footnote>
  <w:footnote w:type="continuationSeparator" w:id="0">
    <w:p w14:paraId="00CC3EBF" w14:textId="77777777" w:rsidR="002C3D59" w:rsidRDefault="002C3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0A01F" w14:textId="77777777" w:rsidR="00026E95" w:rsidRDefault="002C3D5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color w:val="000000"/>
      </w:rPr>
      <w:pict w14:anchorId="135877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alt="" style="position:absolute;margin-left:0;margin-top:0;width:638.25pt;height:350.5pt;z-index:-251657728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image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EA47C" w14:textId="77777777" w:rsidR="00026E95" w:rsidRDefault="00026E95">
    <w:pPr>
      <w:tabs>
        <w:tab w:val="center" w:pos="4419"/>
        <w:tab w:val="right" w:pos="8838"/>
      </w:tabs>
      <w:ind w:left="-284"/>
      <w:rPr>
        <w:color w:val="FF0000"/>
        <w:sz w:val="16"/>
        <w:szCs w:val="16"/>
      </w:rPr>
    </w:pPr>
  </w:p>
  <w:p w14:paraId="1148D329" w14:textId="77777777" w:rsidR="00026E95" w:rsidRDefault="002C3D5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-284" w:firstLine="284"/>
      <w:rPr>
        <w:color w:val="000000"/>
      </w:rPr>
    </w:pPr>
    <w:r>
      <w:rPr>
        <w:color w:val="000000"/>
      </w:rPr>
      <w:pict w14:anchorId="2F4319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alt="" style="position:absolute;left:0;text-align:left;margin-left:0;margin-top:0;width:638.25pt;height:350.5pt;z-index:-251659776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image3" gain="19661f" blacklevel="22938f"/>
          <w10:wrap anchorx="margin" anchory="margin"/>
        </v:shape>
      </w:pict>
    </w:r>
    <w:r w:rsidR="008957AB">
      <w:rPr>
        <w:noProof/>
        <w:color w:val="000000"/>
      </w:rPr>
      <w:drawing>
        <wp:inline distT="0" distB="0" distL="0" distR="0" wp14:anchorId="442512C4" wp14:editId="5D4DC045">
          <wp:extent cx="6745315" cy="727435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45315" cy="7274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18F9" w14:textId="77777777" w:rsidR="00026E95" w:rsidRDefault="002C3D5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color w:val="000000"/>
      </w:rPr>
      <w:pict w14:anchorId="5842D0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" style="position:absolute;margin-left:0;margin-top:0;width:638.25pt;height:350.5pt;z-index:-251658752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image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CD5"/>
    <w:multiLevelType w:val="hybridMultilevel"/>
    <w:tmpl w:val="B518DD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F3ACB"/>
    <w:multiLevelType w:val="hybridMultilevel"/>
    <w:tmpl w:val="6BA287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A3902"/>
    <w:multiLevelType w:val="hybridMultilevel"/>
    <w:tmpl w:val="A5867B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F92580"/>
    <w:multiLevelType w:val="hybridMultilevel"/>
    <w:tmpl w:val="71F0A1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887E1C"/>
    <w:multiLevelType w:val="hybridMultilevel"/>
    <w:tmpl w:val="818EBF0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536550">
    <w:abstractNumId w:val="2"/>
  </w:num>
  <w:num w:numId="2" w16cid:durableId="863710844">
    <w:abstractNumId w:val="0"/>
  </w:num>
  <w:num w:numId="3" w16cid:durableId="1259947597">
    <w:abstractNumId w:val="3"/>
  </w:num>
  <w:num w:numId="4" w16cid:durableId="1850831833">
    <w:abstractNumId w:val="1"/>
  </w:num>
  <w:num w:numId="5" w16cid:durableId="9711802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E95"/>
    <w:rsid w:val="000170CA"/>
    <w:rsid w:val="00026E95"/>
    <w:rsid w:val="00074C9E"/>
    <w:rsid w:val="00080FBB"/>
    <w:rsid w:val="00082166"/>
    <w:rsid w:val="000C60A8"/>
    <w:rsid w:val="001B060D"/>
    <w:rsid w:val="001C6A8A"/>
    <w:rsid w:val="00283514"/>
    <w:rsid w:val="002C3D59"/>
    <w:rsid w:val="00312975"/>
    <w:rsid w:val="003211BE"/>
    <w:rsid w:val="00330AC4"/>
    <w:rsid w:val="003369F5"/>
    <w:rsid w:val="00343BD5"/>
    <w:rsid w:val="00364CC8"/>
    <w:rsid w:val="00371840"/>
    <w:rsid w:val="00395B6E"/>
    <w:rsid w:val="003B6D96"/>
    <w:rsid w:val="00405E9E"/>
    <w:rsid w:val="004741E4"/>
    <w:rsid w:val="004C71C2"/>
    <w:rsid w:val="004D08E9"/>
    <w:rsid w:val="004D6522"/>
    <w:rsid w:val="00536EC9"/>
    <w:rsid w:val="005446C0"/>
    <w:rsid w:val="0059099D"/>
    <w:rsid w:val="005C1B4B"/>
    <w:rsid w:val="0061105B"/>
    <w:rsid w:val="0064698D"/>
    <w:rsid w:val="006A1068"/>
    <w:rsid w:val="006F6539"/>
    <w:rsid w:val="0076460A"/>
    <w:rsid w:val="0077205B"/>
    <w:rsid w:val="007838F2"/>
    <w:rsid w:val="007B3B10"/>
    <w:rsid w:val="008957AB"/>
    <w:rsid w:val="008E21AE"/>
    <w:rsid w:val="008F6AFA"/>
    <w:rsid w:val="0092288E"/>
    <w:rsid w:val="009468E3"/>
    <w:rsid w:val="009549E2"/>
    <w:rsid w:val="00984D50"/>
    <w:rsid w:val="009A0479"/>
    <w:rsid w:val="009F65BE"/>
    <w:rsid w:val="00A11AC8"/>
    <w:rsid w:val="00A162BF"/>
    <w:rsid w:val="00A52334"/>
    <w:rsid w:val="00AD3BDE"/>
    <w:rsid w:val="00AE7E25"/>
    <w:rsid w:val="00B21249"/>
    <w:rsid w:val="00B61CEA"/>
    <w:rsid w:val="00BB4E15"/>
    <w:rsid w:val="00BB6EDD"/>
    <w:rsid w:val="00BF6161"/>
    <w:rsid w:val="00C4462A"/>
    <w:rsid w:val="00C744ED"/>
    <w:rsid w:val="00C815E4"/>
    <w:rsid w:val="00C956DD"/>
    <w:rsid w:val="00CF1CFF"/>
    <w:rsid w:val="00D422E4"/>
    <w:rsid w:val="00D66B79"/>
    <w:rsid w:val="00D7104F"/>
    <w:rsid w:val="00DF46A4"/>
    <w:rsid w:val="00EA4575"/>
    <w:rsid w:val="00EF4A29"/>
    <w:rsid w:val="00F01CAB"/>
    <w:rsid w:val="00F44922"/>
    <w:rsid w:val="00F51D2D"/>
    <w:rsid w:val="00F534A4"/>
    <w:rsid w:val="00F632EE"/>
    <w:rsid w:val="00F72FFB"/>
    <w:rsid w:val="00F757F0"/>
    <w:rsid w:val="00FA0152"/>
    <w:rsid w:val="00FF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8A61B"/>
  <w15:docId w15:val="{0D264DD8-AD43-46C1-9B56-0AE424594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es-CO" w:eastAsia="es-419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3369F5"/>
    <w:pPr>
      <w:tabs>
        <w:tab w:val="center" w:pos="4419"/>
        <w:tab w:val="right" w:pos="8838"/>
      </w:tabs>
    </w:pPr>
    <w:rPr>
      <w:rFonts w:asciiTheme="minorHAnsi" w:eastAsiaTheme="minorEastAsia" w:hAnsiTheme="minorHAnsi" w:cstheme="minorBidi"/>
      <w:kern w:val="2"/>
      <w:lang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3369F5"/>
    <w:rPr>
      <w:rFonts w:asciiTheme="minorHAnsi" w:eastAsiaTheme="minorEastAsia" w:hAnsiTheme="minorHAnsi" w:cstheme="minorBidi"/>
      <w:kern w:val="2"/>
      <w:lang w:eastAsia="en-US"/>
      <w14:ligatures w14:val="standardContextual"/>
    </w:rPr>
  </w:style>
  <w:style w:type="table" w:styleId="Tablaconcuadrcula">
    <w:name w:val="Table Grid"/>
    <w:basedOn w:val="Tablanormal"/>
    <w:uiPriority w:val="39"/>
    <w:rsid w:val="00F01CAB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F01CAB"/>
    <w:rPr>
      <w:rFonts w:asciiTheme="minorHAnsi" w:eastAsiaTheme="minorEastAsia" w:hAnsiTheme="minorHAnsi" w:cstheme="minorBidi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F01CAB"/>
    <w:rPr>
      <w:color w:val="0000FF" w:themeColor="hyperlink"/>
      <w:u w:val="single"/>
    </w:rPr>
  </w:style>
  <w:style w:type="paragraph" w:customStyle="1" w:styleId="p1">
    <w:name w:val="p1"/>
    <w:basedOn w:val="Normal"/>
    <w:rsid w:val="00283514"/>
    <w:rPr>
      <w:rFonts w:ascii="Helvetica" w:eastAsia="Times New Roman" w:hAnsi="Helvetica" w:cs="Times New Roman"/>
      <w:color w:val="000000"/>
      <w:sz w:val="14"/>
      <w:szCs w:val="1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1350</Words>
  <Characters>7601</Characters>
  <Application>Microsoft Office Word</Application>
  <DocSecurity>0</DocSecurity>
  <Lines>217</Lines>
  <Paragraphs>88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Jorge Leguizamon</dc:creator>
  <cp:lastModifiedBy>Hugo Palacios</cp:lastModifiedBy>
  <cp:revision>3</cp:revision>
  <cp:lastPrinted>2024-12-05T14:29:00Z</cp:lastPrinted>
  <dcterms:created xsi:type="dcterms:W3CDTF">2026-06-30T17:42:00Z</dcterms:created>
  <dcterms:modified xsi:type="dcterms:W3CDTF">2026-06-30T17:46:00Z</dcterms:modified>
</cp:coreProperties>
</file>